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1315"/>
        <w:gridCol w:w="1505"/>
        <w:gridCol w:w="1038"/>
        <w:gridCol w:w="1434"/>
        <w:gridCol w:w="699"/>
        <w:gridCol w:w="1488"/>
        <w:gridCol w:w="1421"/>
        <w:gridCol w:w="46"/>
      </w:tblGrid>
      <w:tr w:rsidR="003E7BB2" w:rsidRPr="00DC23A2" w14:paraId="55079333" w14:textId="77777777" w:rsidTr="003E7BB2">
        <w:trPr>
          <w:gridAfter w:val="1"/>
          <w:wAfter w:w="22" w:type="pct"/>
          <w:trHeight w:val="977"/>
        </w:trPr>
        <w:tc>
          <w:tcPr>
            <w:tcW w:w="726" w:type="pct"/>
            <w:vMerge w:val="restart"/>
            <w:tcBorders>
              <w:top w:val="single" w:sz="4" w:space="0" w:color="auto"/>
              <w:left w:val="nil"/>
              <w:bottom w:val="nil"/>
              <w:right w:val="nil"/>
            </w:tcBorders>
            <w:vAlign w:val="center"/>
          </w:tcPr>
          <w:p w14:paraId="54BEF185" w14:textId="77777777" w:rsidR="003E7BB2" w:rsidRPr="00DC23A2" w:rsidRDefault="003E7BB2" w:rsidP="00E807BD">
            <w:pPr>
              <w:pStyle w:val="stBilgi"/>
              <w:rPr>
                <w:rFonts w:ascii="Times New Roman" w:hAnsi="Times New Roman"/>
                <w:lang w:eastAsia="en-US"/>
              </w:rPr>
            </w:pPr>
            <w:bookmarkStart w:id="0" w:name="_Hlk29895835"/>
            <w:r w:rsidRPr="00DC23A2">
              <w:rPr>
                <w:rFonts w:ascii="Times New Roman" w:hAnsi="Times New Roman"/>
                <w:noProof/>
              </w:rPr>
              <w:drawing>
                <wp:inline distT="0" distB="0" distL="0" distR="0" wp14:anchorId="1768F629" wp14:editId="15452C26">
                  <wp:extent cx="828000" cy="828000"/>
                  <wp:effectExtent l="0" t="0" r="0" b="0"/>
                  <wp:docPr id="1760249252" name="Resim 1760249252" descr="logo, simge, sembol, ticari marka,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9252" name="Resim 1760249252" descr="logo, simge, sembol, ticari marka, amblem içeren bir resim&#10;&#10;Yapay zeka tarafından oluşturulmuş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3573" w:type="pct"/>
            <w:gridSpan w:val="6"/>
            <w:tcBorders>
              <w:top w:val="single" w:sz="4" w:space="0" w:color="auto"/>
              <w:left w:val="nil"/>
              <w:bottom w:val="single" w:sz="4" w:space="0" w:color="auto"/>
              <w:right w:val="nil"/>
            </w:tcBorders>
            <w:vAlign w:val="center"/>
          </w:tcPr>
          <w:p w14:paraId="3C44650A" w14:textId="5CB0293F" w:rsidR="003E7BB2" w:rsidRPr="002B27CF" w:rsidRDefault="002B27CF" w:rsidP="00E807BD">
            <w:pPr>
              <w:pStyle w:val="stBilgi"/>
              <w:jc w:val="center"/>
              <w:rPr>
                <w:rFonts w:ascii="Times New Roman" w:hAnsi="Times New Roman"/>
                <w:b/>
                <w:sz w:val="24"/>
                <w:szCs w:val="24"/>
                <w:lang w:eastAsia="en-US"/>
              </w:rPr>
            </w:pPr>
            <w:r w:rsidRPr="002B27CF">
              <w:rPr>
                <w:rFonts w:ascii="Times New Roman" w:hAnsi="Times New Roman"/>
                <w:b/>
                <w:sz w:val="24"/>
                <w:szCs w:val="24"/>
                <w:lang w:eastAsia="en-US"/>
              </w:rPr>
              <w:t>T.C.</w:t>
            </w:r>
          </w:p>
          <w:p w14:paraId="26E515CA" w14:textId="77777777" w:rsidR="003E7BB2" w:rsidRPr="002B27CF" w:rsidRDefault="003E7BB2" w:rsidP="00E807BD">
            <w:pPr>
              <w:pStyle w:val="stBilgi"/>
              <w:jc w:val="center"/>
              <w:rPr>
                <w:rFonts w:ascii="Times New Roman" w:hAnsi="Times New Roman"/>
                <w:b/>
                <w:sz w:val="24"/>
                <w:szCs w:val="24"/>
                <w:lang w:eastAsia="en-US"/>
              </w:rPr>
            </w:pPr>
            <w:r w:rsidRPr="002B27CF">
              <w:rPr>
                <w:rFonts w:ascii="Times New Roman" w:hAnsi="Times New Roman"/>
                <w:b/>
                <w:sz w:val="24"/>
                <w:szCs w:val="24"/>
                <w:lang w:eastAsia="en-US"/>
              </w:rPr>
              <w:t>GİRESUN ÜNİVERSİTESİ</w:t>
            </w:r>
          </w:p>
          <w:p w14:paraId="3D81A21A" w14:textId="20ACD37A" w:rsidR="003E7BB2" w:rsidRPr="00DC23A2" w:rsidRDefault="008F2546" w:rsidP="00E807BD">
            <w:pPr>
              <w:pStyle w:val="stBilgi"/>
              <w:jc w:val="center"/>
              <w:rPr>
                <w:rFonts w:ascii="Times New Roman" w:hAnsi="Times New Roman"/>
                <w:bCs/>
                <w:lang w:eastAsia="en-US"/>
              </w:rPr>
            </w:pPr>
            <w:r w:rsidRPr="002B27CF">
              <w:rPr>
                <w:rFonts w:ascii="Times New Roman" w:hAnsi="Times New Roman"/>
                <w:b/>
                <w:sz w:val="24"/>
                <w:szCs w:val="24"/>
                <w:lang w:eastAsia="en-US"/>
              </w:rPr>
              <w:t>TURİZM FAKÜLTESİ</w:t>
            </w:r>
          </w:p>
        </w:tc>
        <w:tc>
          <w:tcPr>
            <w:tcW w:w="679" w:type="pct"/>
            <w:tcBorders>
              <w:top w:val="single" w:sz="4" w:space="0" w:color="auto"/>
              <w:left w:val="nil"/>
              <w:bottom w:val="single" w:sz="4" w:space="0" w:color="auto"/>
              <w:right w:val="nil"/>
            </w:tcBorders>
            <w:vAlign w:val="center"/>
          </w:tcPr>
          <w:p w14:paraId="3134905E" w14:textId="77777777" w:rsidR="003E7BB2" w:rsidRDefault="003E7BB2" w:rsidP="00E807BD">
            <w:pPr>
              <w:rPr>
                <w:rFonts w:ascii="Times New Roman" w:eastAsia="Calibri" w:hAnsi="Times New Roman"/>
                <w:bCs/>
                <w:sz w:val="20"/>
              </w:rPr>
            </w:pPr>
          </w:p>
          <w:p w14:paraId="48934695" w14:textId="77777777" w:rsidR="003E7BB2" w:rsidRPr="00DC23A2" w:rsidRDefault="003E7BB2" w:rsidP="00E807BD">
            <w:pPr>
              <w:pStyle w:val="stBilgi"/>
              <w:jc w:val="center"/>
              <w:rPr>
                <w:rFonts w:ascii="Times New Roman" w:hAnsi="Times New Roman"/>
                <w:bCs/>
                <w:lang w:eastAsia="en-US"/>
              </w:rPr>
            </w:pPr>
          </w:p>
        </w:tc>
      </w:tr>
      <w:tr w:rsidR="003E7BB2" w:rsidRPr="00DC23A2" w14:paraId="4EC8FDFE" w14:textId="77777777" w:rsidTr="003E7BB2">
        <w:trPr>
          <w:gridAfter w:val="1"/>
          <w:wAfter w:w="22" w:type="pct"/>
          <w:trHeight w:val="420"/>
        </w:trPr>
        <w:tc>
          <w:tcPr>
            <w:tcW w:w="726" w:type="pct"/>
            <w:vMerge/>
            <w:tcBorders>
              <w:top w:val="nil"/>
              <w:left w:val="nil"/>
              <w:bottom w:val="single" w:sz="4" w:space="0" w:color="auto"/>
              <w:right w:val="nil"/>
            </w:tcBorders>
            <w:vAlign w:val="center"/>
          </w:tcPr>
          <w:p w14:paraId="1EA6F9E6" w14:textId="77777777" w:rsidR="003E7BB2" w:rsidRPr="00DC23A2" w:rsidRDefault="003E7BB2" w:rsidP="00E807BD">
            <w:pPr>
              <w:pStyle w:val="stBilgi"/>
              <w:spacing w:after="240"/>
              <w:jc w:val="center"/>
              <w:rPr>
                <w:rFonts w:ascii="Times New Roman" w:hAnsi="Times New Roman"/>
                <w:lang w:eastAsia="en-US"/>
              </w:rPr>
            </w:pPr>
          </w:p>
        </w:tc>
        <w:tc>
          <w:tcPr>
            <w:tcW w:w="3573" w:type="pct"/>
            <w:gridSpan w:val="6"/>
            <w:tcBorders>
              <w:top w:val="single" w:sz="4" w:space="0" w:color="auto"/>
              <w:left w:val="nil"/>
              <w:bottom w:val="single" w:sz="4" w:space="0" w:color="auto"/>
              <w:right w:val="nil"/>
            </w:tcBorders>
            <w:vAlign w:val="center"/>
          </w:tcPr>
          <w:p w14:paraId="06CDB564" w14:textId="7A2D37B2" w:rsidR="003E7BB2" w:rsidRPr="00436D64" w:rsidRDefault="00436D64" w:rsidP="00436D64">
            <w:pPr>
              <w:spacing w:after="0"/>
              <w:jc w:val="center"/>
              <w:rPr>
                <w:rFonts w:ascii="Times New Roman" w:hAnsi="Times New Roman" w:cs="Times New Roman"/>
                <w:b/>
                <w:bCs/>
                <w:sz w:val="20"/>
                <w:szCs w:val="20"/>
              </w:rPr>
            </w:pPr>
            <w:r w:rsidRPr="008F2546">
              <w:rPr>
                <w:rFonts w:ascii="Times New Roman" w:hAnsi="Times New Roman" w:cs="Times New Roman"/>
                <w:b/>
                <w:bCs/>
                <w:sz w:val="20"/>
                <w:szCs w:val="20"/>
              </w:rPr>
              <w:t>İŞLETMEDE MESLEKİ EĞİTİM</w:t>
            </w:r>
            <w:r>
              <w:rPr>
                <w:rFonts w:ascii="Times New Roman" w:hAnsi="Times New Roman" w:cs="Times New Roman"/>
                <w:b/>
                <w:bCs/>
                <w:sz w:val="20"/>
                <w:szCs w:val="20"/>
              </w:rPr>
              <w:t xml:space="preserve"> (İME)</w:t>
            </w:r>
            <w:r w:rsidRPr="008F2546">
              <w:rPr>
                <w:rFonts w:ascii="Times New Roman" w:hAnsi="Times New Roman" w:cs="Times New Roman"/>
                <w:b/>
                <w:bCs/>
                <w:sz w:val="20"/>
                <w:szCs w:val="20"/>
              </w:rPr>
              <w:t xml:space="preserve"> </w:t>
            </w:r>
            <w:r>
              <w:rPr>
                <w:rFonts w:ascii="Times New Roman" w:hAnsi="Times New Roman" w:cs="Times New Roman"/>
                <w:b/>
                <w:bCs/>
                <w:sz w:val="20"/>
                <w:szCs w:val="20"/>
              </w:rPr>
              <w:t>VE</w:t>
            </w:r>
            <w:r w:rsidRPr="008F2546">
              <w:rPr>
                <w:rFonts w:ascii="Times New Roman" w:hAnsi="Times New Roman" w:cs="Times New Roman"/>
                <w:b/>
                <w:bCs/>
                <w:sz w:val="20"/>
                <w:szCs w:val="20"/>
              </w:rPr>
              <w:t xml:space="preserve"> STAJ GENEL BİLGİLERİ</w:t>
            </w:r>
          </w:p>
        </w:tc>
        <w:tc>
          <w:tcPr>
            <w:tcW w:w="679" w:type="pct"/>
            <w:tcBorders>
              <w:top w:val="single" w:sz="4" w:space="0" w:color="auto"/>
              <w:left w:val="nil"/>
              <w:bottom w:val="single" w:sz="4" w:space="0" w:color="auto"/>
              <w:right w:val="nil"/>
            </w:tcBorders>
            <w:vAlign w:val="center"/>
          </w:tcPr>
          <w:p w14:paraId="1CB45FB9" w14:textId="77777777" w:rsidR="003E7BB2" w:rsidRPr="00DC23A2" w:rsidRDefault="003E7BB2" w:rsidP="00E807BD">
            <w:pPr>
              <w:jc w:val="center"/>
              <w:rPr>
                <w:rFonts w:ascii="Times New Roman" w:hAnsi="Times New Roman"/>
                <w:b/>
                <w:sz w:val="20"/>
              </w:rPr>
            </w:pPr>
          </w:p>
        </w:tc>
      </w:tr>
      <w:tr w:rsidR="003E7BB2" w:rsidRPr="00DC23A2" w14:paraId="3F9A2422" w14:textId="77777777" w:rsidTr="003E7BB2">
        <w:trPr>
          <w:trHeight w:val="299"/>
        </w:trPr>
        <w:tc>
          <w:tcPr>
            <w:tcW w:w="726" w:type="pct"/>
            <w:tcBorders>
              <w:top w:val="single" w:sz="4" w:space="0" w:color="auto"/>
              <w:left w:val="nil"/>
              <w:bottom w:val="single" w:sz="4" w:space="0" w:color="auto"/>
              <w:right w:val="single" w:sz="4" w:space="0" w:color="auto"/>
            </w:tcBorders>
            <w:vAlign w:val="center"/>
          </w:tcPr>
          <w:p w14:paraId="0FC4E58C" w14:textId="77777777" w:rsidR="003E7BB2" w:rsidRPr="00DC23A2" w:rsidRDefault="003E7BB2" w:rsidP="00E807BD">
            <w:pPr>
              <w:pStyle w:val="stBilgi"/>
              <w:jc w:val="center"/>
              <w:rPr>
                <w:rFonts w:ascii="Times New Roman" w:hAnsi="Times New Roman"/>
                <w:b/>
                <w:bCs/>
                <w:sz w:val="18"/>
                <w:szCs w:val="18"/>
                <w:lang w:eastAsia="en-US"/>
              </w:rPr>
            </w:pPr>
            <w:r w:rsidRPr="00DC23A2">
              <w:rPr>
                <w:rFonts w:ascii="Times New Roman" w:hAnsi="Times New Roman"/>
                <w:b/>
                <w:bCs/>
                <w:sz w:val="18"/>
                <w:szCs w:val="18"/>
                <w:lang w:eastAsia="en-US"/>
              </w:rPr>
              <w:t>Doküman No</w:t>
            </w:r>
          </w:p>
        </w:tc>
        <w:tc>
          <w:tcPr>
            <w:tcW w:w="628" w:type="pct"/>
            <w:tcBorders>
              <w:left w:val="single" w:sz="4" w:space="0" w:color="auto"/>
            </w:tcBorders>
            <w:vAlign w:val="center"/>
          </w:tcPr>
          <w:p w14:paraId="0FA6F165" w14:textId="54B3EAD7" w:rsidR="003E7BB2" w:rsidRPr="00DC23A2" w:rsidRDefault="003E7BB2" w:rsidP="00E807BD">
            <w:pPr>
              <w:pStyle w:val="stBilgi"/>
              <w:jc w:val="center"/>
              <w:rPr>
                <w:rFonts w:ascii="Times New Roman" w:hAnsi="Times New Roman"/>
                <w:b/>
                <w:sz w:val="18"/>
                <w:szCs w:val="18"/>
                <w:lang w:eastAsia="en-US"/>
              </w:rPr>
            </w:pPr>
            <w:r w:rsidRPr="00DC23A2">
              <w:rPr>
                <w:rFonts w:ascii="Times New Roman" w:hAnsi="Times New Roman"/>
                <w:bCs/>
                <w:sz w:val="18"/>
                <w:szCs w:val="18"/>
                <w:lang w:eastAsia="en-US"/>
              </w:rPr>
              <w:t>TF-A</w:t>
            </w:r>
            <w:r>
              <w:rPr>
                <w:rFonts w:ascii="Times New Roman" w:hAnsi="Times New Roman"/>
                <w:bCs/>
                <w:sz w:val="18"/>
                <w:szCs w:val="18"/>
                <w:lang w:eastAsia="en-US"/>
              </w:rPr>
              <w:t>D</w:t>
            </w:r>
            <w:r w:rsidRPr="00DC23A2">
              <w:rPr>
                <w:rFonts w:ascii="Times New Roman" w:hAnsi="Times New Roman"/>
                <w:bCs/>
                <w:sz w:val="18"/>
                <w:szCs w:val="18"/>
                <w:lang w:eastAsia="en-US"/>
              </w:rPr>
              <w:t>-00</w:t>
            </w:r>
            <w:r>
              <w:rPr>
                <w:rFonts w:ascii="Times New Roman" w:hAnsi="Times New Roman"/>
                <w:bCs/>
                <w:sz w:val="18"/>
                <w:szCs w:val="18"/>
                <w:lang w:eastAsia="en-US"/>
              </w:rPr>
              <w:t>7</w:t>
            </w:r>
          </w:p>
        </w:tc>
        <w:tc>
          <w:tcPr>
            <w:tcW w:w="719" w:type="pct"/>
            <w:vAlign w:val="center"/>
          </w:tcPr>
          <w:p w14:paraId="128778C0" w14:textId="77777777" w:rsidR="003E7BB2" w:rsidRPr="00DC23A2" w:rsidRDefault="003E7BB2" w:rsidP="00E807BD">
            <w:pPr>
              <w:pStyle w:val="stBilgi"/>
              <w:ind w:right="-16"/>
              <w:jc w:val="center"/>
              <w:rPr>
                <w:rFonts w:ascii="Times New Roman" w:hAnsi="Times New Roman"/>
                <w:b/>
                <w:bCs/>
                <w:sz w:val="18"/>
                <w:szCs w:val="18"/>
                <w:lang w:eastAsia="en-US"/>
              </w:rPr>
            </w:pPr>
            <w:r w:rsidRPr="00DC23A2">
              <w:rPr>
                <w:rFonts w:ascii="Times New Roman" w:hAnsi="Times New Roman"/>
                <w:b/>
                <w:bCs/>
                <w:sz w:val="18"/>
                <w:szCs w:val="18"/>
                <w:lang w:eastAsia="en-US"/>
              </w:rPr>
              <w:t>İlk Yayın Tarihi</w:t>
            </w:r>
          </w:p>
        </w:tc>
        <w:tc>
          <w:tcPr>
            <w:tcW w:w="496" w:type="pct"/>
            <w:vAlign w:val="center"/>
          </w:tcPr>
          <w:p w14:paraId="7230150B" w14:textId="77777777" w:rsidR="003E7BB2" w:rsidRPr="00DC23A2" w:rsidRDefault="003E7BB2" w:rsidP="00E807BD">
            <w:pPr>
              <w:pStyle w:val="stBilgi"/>
              <w:jc w:val="center"/>
              <w:rPr>
                <w:rFonts w:ascii="Times New Roman" w:hAnsi="Times New Roman"/>
                <w:b/>
                <w:sz w:val="18"/>
                <w:szCs w:val="18"/>
                <w:lang w:eastAsia="en-US"/>
              </w:rPr>
            </w:pPr>
            <w:r w:rsidRPr="00DC23A2">
              <w:rPr>
                <w:rFonts w:ascii="Times New Roman" w:hAnsi="Times New Roman"/>
                <w:bCs/>
                <w:sz w:val="18"/>
                <w:szCs w:val="18"/>
                <w:lang w:eastAsia="en-US"/>
              </w:rPr>
              <w:t>15.09.2025</w:t>
            </w:r>
          </w:p>
        </w:tc>
        <w:tc>
          <w:tcPr>
            <w:tcW w:w="685" w:type="pct"/>
            <w:vAlign w:val="center"/>
          </w:tcPr>
          <w:p w14:paraId="39A44926" w14:textId="77777777" w:rsidR="003E7BB2" w:rsidRPr="00DC23A2" w:rsidRDefault="003E7BB2" w:rsidP="00E807BD">
            <w:pPr>
              <w:pStyle w:val="stBilgi"/>
              <w:jc w:val="center"/>
              <w:rPr>
                <w:rFonts w:ascii="Times New Roman" w:hAnsi="Times New Roman"/>
                <w:b/>
                <w:bCs/>
                <w:sz w:val="18"/>
                <w:szCs w:val="18"/>
                <w:lang w:eastAsia="en-US"/>
              </w:rPr>
            </w:pPr>
            <w:r w:rsidRPr="00DC23A2">
              <w:rPr>
                <w:rFonts w:ascii="Times New Roman" w:hAnsi="Times New Roman"/>
                <w:b/>
                <w:bCs/>
                <w:sz w:val="18"/>
                <w:szCs w:val="18"/>
                <w:lang w:eastAsia="en-US"/>
              </w:rPr>
              <w:t>Revizyon No</w:t>
            </w:r>
          </w:p>
        </w:tc>
        <w:tc>
          <w:tcPr>
            <w:tcW w:w="334" w:type="pct"/>
            <w:vAlign w:val="center"/>
          </w:tcPr>
          <w:p w14:paraId="6E96FDE9" w14:textId="77777777" w:rsidR="003E7BB2" w:rsidRPr="00DC23A2" w:rsidRDefault="003E7BB2" w:rsidP="00E807BD">
            <w:pPr>
              <w:pStyle w:val="stBilgi"/>
              <w:rPr>
                <w:rFonts w:ascii="Times New Roman" w:hAnsi="Times New Roman"/>
                <w:b/>
                <w:sz w:val="18"/>
                <w:szCs w:val="18"/>
                <w:lang w:eastAsia="en-US"/>
              </w:rPr>
            </w:pPr>
          </w:p>
        </w:tc>
        <w:tc>
          <w:tcPr>
            <w:tcW w:w="711" w:type="pct"/>
            <w:tcBorders>
              <w:right w:val="single" w:sz="4" w:space="0" w:color="auto"/>
            </w:tcBorders>
            <w:vAlign w:val="center"/>
          </w:tcPr>
          <w:p w14:paraId="3197BBF2" w14:textId="77777777" w:rsidR="003E7BB2" w:rsidRPr="00DC23A2" w:rsidRDefault="003E7BB2" w:rsidP="00E807BD">
            <w:pPr>
              <w:pStyle w:val="stBilgi"/>
              <w:rPr>
                <w:rFonts w:ascii="Times New Roman" w:hAnsi="Times New Roman"/>
                <w:b/>
                <w:bCs/>
                <w:sz w:val="18"/>
                <w:szCs w:val="18"/>
                <w:lang w:eastAsia="en-US"/>
              </w:rPr>
            </w:pPr>
            <w:r w:rsidRPr="00DC23A2">
              <w:rPr>
                <w:rFonts w:ascii="Times New Roman" w:hAnsi="Times New Roman"/>
                <w:b/>
                <w:bCs/>
                <w:sz w:val="18"/>
                <w:szCs w:val="18"/>
                <w:lang w:eastAsia="en-US"/>
              </w:rPr>
              <w:t>Revizyon Tarihi</w:t>
            </w:r>
          </w:p>
        </w:tc>
        <w:tc>
          <w:tcPr>
            <w:tcW w:w="701" w:type="pct"/>
            <w:gridSpan w:val="2"/>
            <w:tcBorders>
              <w:right w:val="nil"/>
            </w:tcBorders>
            <w:vAlign w:val="center"/>
          </w:tcPr>
          <w:p w14:paraId="251206C3" w14:textId="77777777" w:rsidR="003E7BB2" w:rsidRPr="00DC23A2" w:rsidRDefault="003E7BB2" w:rsidP="00E807BD">
            <w:pPr>
              <w:pStyle w:val="stBilgi"/>
              <w:jc w:val="center"/>
              <w:rPr>
                <w:rFonts w:ascii="Times New Roman" w:hAnsi="Times New Roman"/>
                <w:b/>
                <w:sz w:val="18"/>
                <w:szCs w:val="18"/>
                <w:lang w:eastAsia="en-US"/>
              </w:rPr>
            </w:pPr>
          </w:p>
        </w:tc>
      </w:tr>
    </w:tbl>
    <w:bookmarkEnd w:id="0"/>
    <w:p w14:paraId="1F375B5A" w14:textId="77777777" w:rsidR="00E900B5" w:rsidRPr="00436D64" w:rsidRDefault="00E900B5" w:rsidP="005729A3">
      <w:pPr>
        <w:spacing w:before="120" w:after="0"/>
        <w:jc w:val="both"/>
        <w:rPr>
          <w:rFonts w:ascii="Times New Roman" w:hAnsi="Times New Roman" w:cs="Times New Roman"/>
          <w:sz w:val="20"/>
          <w:szCs w:val="20"/>
        </w:rPr>
      </w:pPr>
      <w:r w:rsidRPr="00436D64">
        <w:rPr>
          <w:rFonts w:ascii="Times New Roman" w:hAnsi="Times New Roman" w:cs="Times New Roman"/>
          <w:b/>
          <w:bCs/>
          <w:sz w:val="20"/>
          <w:szCs w:val="20"/>
        </w:rPr>
        <w:t>Yasal Dayanak:</w:t>
      </w:r>
      <w:r w:rsidRPr="00436D64">
        <w:rPr>
          <w:rFonts w:ascii="Times New Roman" w:hAnsi="Times New Roman" w:cs="Times New Roman"/>
          <w:sz w:val="20"/>
          <w:szCs w:val="20"/>
        </w:rPr>
        <w:t xml:space="preserve"> Bu İME ve staj uygulaması; 3308 sayılı Mesleki Eğitim Kanunu'nun 20’nci maddesi ve Yükseköğretimde Uygulamalı Eğitimler Çerçeve Yönetmeliği hükümlerine dayanılarak hazırlanan "Giresun Üniversitesi Turizm Fakültesi İşletmede Mesleki Eğitim ve Staj Yönergesi" kapsamında yürütülmektedir. Bu yönergede yer almayan konularda “Giresun Üniversitesi </w:t>
      </w:r>
      <w:proofErr w:type="spellStart"/>
      <w:r w:rsidRPr="00436D64">
        <w:rPr>
          <w:rFonts w:ascii="Times New Roman" w:hAnsi="Times New Roman" w:cs="Times New Roman"/>
          <w:sz w:val="20"/>
          <w:szCs w:val="20"/>
        </w:rPr>
        <w:t>Önlisans</w:t>
      </w:r>
      <w:proofErr w:type="spellEnd"/>
      <w:r w:rsidRPr="00436D64">
        <w:rPr>
          <w:rFonts w:ascii="Times New Roman" w:hAnsi="Times New Roman" w:cs="Times New Roman"/>
          <w:sz w:val="20"/>
          <w:szCs w:val="20"/>
        </w:rPr>
        <w:t xml:space="preserve"> ve Lisans Eğitim-Öğretim ve Sınav Yönetmeliği” hükümleri geçerlidir. </w:t>
      </w:r>
    </w:p>
    <w:p w14:paraId="29B857F9" w14:textId="77777777" w:rsidR="00E900B5" w:rsidRPr="00436D64" w:rsidRDefault="00E900B5" w:rsidP="005729A3">
      <w:pPr>
        <w:spacing w:before="120" w:after="0"/>
        <w:jc w:val="both"/>
        <w:rPr>
          <w:rFonts w:ascii="Times New Roman" w:hAnsi="Times New Roman" w:cs="Times New Roman"/>
          <w:b/>
          <w:bCs/>
          <w:sz w:val="20"/>
          <w:szCs w:val="20"/>
        </w:rPr>
      </w:pPr>
      <w:r w:rsidRPr="00436D64">
        <w:rPr>
          <w:rFonts w:ascii="Times New Roman" w:hAnsi="Times New Roman" w:cs="Times New Roman"/>
          <w:b/>
          <w:bCs/>
          <w:sz w:val="20"/>
          <w:szCs w:val="20"/>
        </w:rPr>
        <w:t>Çalışma Koşulları ve Süreleri:</w:t>
      </w:r>
    </w:p>
    <w:p w14:paraId="2013C1DA"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Öğrencilerin haftalık çalışma süresi, 4857 sayılı İş Kanunu’nda belirlenen yasal çalışma süresini aşamaz. </w:t>
      </w:r>
    </w:p>
    <w:p w14:paraId="31008C3B"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Öğrenciler gece vardiyasında görevlendirilemez ve işletmenin asli personel ihtiyacını karşılayacak şekilde tek başlarına çalıştırılamazlar. </w:t>
      </w:r>
    </w:p>
    <w:p w14:paraId="7D108A92"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İşletmede Mesleki Eğitim (İME), ilgili eğitim-öğretim döneminde derslerin başladığı gün başlar ve derslerin bittiği gün sona erer; uygulamanın üniversitenin akademik takviminde belirtilen ders döneminde yürütülmesi esastır. </w:t>
      </w:r>
    </w:p>
    <w:p w14:paraId="7EA10CC1"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Staj uygulaması ise eğitim-öğretim dönemleri dışında dönemlerde yürütülmesi esastır.</w:t>
      </w:r>
    </w:p>
    <w:p w14:paraId="037342ED"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Sınav haftaları uygulama süresine dâhil edilmez; ancak öğrenci talep ederse ara sınav haftasında uygulamaya devam edebilir ve bu süre fiili çalışmaya eklenir. </w:t>
      </w:r>
    </w:p>
    <w:p w14:paraId="77DB267B"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Turizm sektörünün niteliği gereği ulusal bayram ve genel tatil günlerinde yapılan çalışmalar İME/Staj süresinden sayılır. </w:t>
      </w:r>
    </w:p>
    <w:p w14:paraId="04212FCA" w14:textId="77777777" w:rsidR="00436D64" w:rsidRDefault="00E900B5" w:rsidP="005729A3">
      <w:pPr>
        <w:spacing w:before="120" w:after="0"/>
        <w:jc w:val="both"/>
        <w:rPr>
          <w:rFonts w:ascii="Times New Roman" w:hAnsi="Times New Roman" w:cs="Times New Roman"/>
          <w:sz w:val="20"/>
          <w:szCs w:val="20"/>
        </w:rPr>
      </w:pPr>
      <w:r w:rsidRPr="00436D64">
        <w:rPr>
          <w:rFonts w:ascii="Times New Roman" w:hAnsi="Times New Roman" w:cs="Times New Roman"/>
          <w:b/>
          <w:bCs/>
          <w:sz w:val="20"/>
          <w:szCs w:val="20"/>
        </w:rPr>
        <w:t>Sigorta İşlemleri:</w:t>
      </w:r>
      <w:r w:rsidRPr="00436D64">
        <w:rPr>
          <w:rFonts w:ascii="Times New Roman" w:hAnsi="Times New Roman" w:cs="Times New Roman"/>
          <w:sz w:val="20"/>
          <w:szCs w:val="20"/>
        </w:rPr>
        <w:t xml:space="preserve"> </w:t>
      </w:r>
    </w:p>
    <w:p w14:paraId="2C4C191E" w14:textId="2C786ACB" w:rsidR="00436D64" w:rsidRPr="00436D64" w:rsidRDefault="00436D64" w:rsidP="005729A3">
      <w:pPr>
        <w:pStyle w:val="ListeParagraf"/>
        <w:numPr>
          <w:ilvl w:val="0"/>
          <w:numId w:val="6"/>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Yurt içinde yapılacak işletmede mesleki eğitim ve staj süresince öğrenciler hakkında ilgili kanunlar uyarınca iş kazası ve meslek hastalığı sigortası uygulanır; ödenecek primler Üniversite tarafından karşılanır. </w:t>
      </w:r>
    </w:p>
    <w:p w14:paraId="2D603937" w14:textId="618E1019" w:rsidR="00E900B5" w:rsidRPr="00436D64" w:rsidRDefault="00436D64" w:rsidP="005729A3">
      <w:pPr>
        <w:numPr>
          <w:ilvl w:val="0"/>
          <w:numId w:val="5"/>
        </w:numPr>
        <w:spacing w:after="0"/>
        <w:jc w:val="both"/>
        <w:rPr>
          <w:rFonts w:ascii="Times New Roman" w:hAnsi="Times New Roman" w:cs="Times New Roman"/>
          <w:sz w:val="20"/>
          <w:szCs w:val="20"/>
        </w:rPr>
      </w:pPr>
      <w:r w:rsidRPr="00436D64">
        <w:rPr>
          <w:rFonts w:ascii="Times New Roman" w:hAnsi="Times New Roman" w:cs="Times New Roman"/>
          <w:sz w:val="20"/>
          <w:szCs w:val="20"/>
        </w:rPr>
        <w:t>Yurt dışında gerçekleştirilecek staj ve mesleki eğitim uygulamalarında iş kazası, meslek hastalığı ve uluslararası sağlık sigortası işlemleri Üniversitemiz tarafından karşılanmamaktadır. Değişim programları (Erasmus vb.) veya kendi imkânlarıyla yurt dışında eğitim görecek öğrencilerin tüm sigorta işlemleri ve masrafları kendi sorumluluğundadır.</w:t>
      </w:r>
    </w:p>
    <w:p w14:paraId="5F7FC89F" w14:textId="77777777" w:rsidR="00E900B5" w:rsidRPr="00436D64" w:rsidRDefault="00E900B5" w:rsidP="005729A3">
      <w:pPr>
        <w:spacing w:before="120" w:after="0"/>
        <w:jc w:val="both"/>
        <w:rPr>
          <w:rFonts w:ascii="Times New Roman" w:hAnsi="Times New Roman" w:cs="Times New Roman"/>
          <w:b/>
          <w:bCs/>
          <w:sz w:val="20"/>
          <w:szCs w:val="20"/>
        </w:rPr>
      </w:pPr>
      <w:r w:rsidRPr="00436D64">
        <w:rPr>
          <w:rFonts w:ascii="Times New Roman" w:hAnsi="Times New Roman" w:cs="Times New Roman"/>
          <w:b/>
          <w:bCs/>
          <w:sz w:val="20"/>
          <w:szCs w:val="20"/>
        </w:rPr>
        <w:t>Görev ve Sorumluluklar:</w:t>
      </w:r>
    </w:p>
    <w:p w14:paraId="67FAA9E3" w14:textId="77777777" w:rsid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Öğrenci: </w:t>
      </w:r>
      <w:r w:rsidR="00436D64" w:rsidRPr="00436D64">
        <w:rPr>
          <w:rFonts w:ascii="Times New Roman" w:hAnsi="Times New Roman" w:cs="Times New Roman"/>
          <w:sz w:val="20"/>
          <w:szCs w:val="20"/>
        </w:rPr>
        <w:t>İşletmenin güvenlik/sağlık koşullarına ve çalışma saatlerine uymalı, profesyonel bir tutum sergilemeli ve edindiği deneyimleri İşletmede Mesleki Eğitim ve Staj Dosyasına kaydetmelidir. Ayrıca eğitim süresince "Yükseköğretim Kurumları Öğrenci Disiplin Yönetmeliği" hükümlerine uymak zorundadır. Öğrenci, işletmeye vereceği her türlü maddi ve manevi zarardan bizzat kendisi sorumludur.</w:t>
      </w:r>
    </w:p>
    <w:p w14:paraId="76AA3DE0"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Eğitici Personel (İşletme Yetkilisi): Öğrencinin kurallara uygun eğitim yapmasını sağlar , disiplin ve devam durumu hakkında komisyonla iş birliği yapar. İME/Staj bitiminde "İşletme Değerlendirme Formunu" doldurarak belirlenen süre içinde uygun iletişim kanallarıyla sorumlu öğretim elemanına ulaştırır. </w:t>
      </w:r>
    </w:p>
    <w:p w14:paraId="7C14C058" w14:textId="77777777" w:rsidR="00E900B5" w:rsidRP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Sorumlu Öğretim Elemanı: Öğrencilerin performansını yüz yüze veya çevrimiçi izler , değerlendirir ve ilgili komisyona raporlar. </w:t>
      </w:r>
    </w:p>
    <w:p w14:paraId="75039DB1" w14:textId="3E114CFD" w:rsidR="005729A3" w:rsidRDefault="005729A3" w:rsidP="005729A3">
      <w:pPr>
        <w:spacing w:before="120" w:after="0"/>
        <w:jc w:val="both"/>
        <w:rPr>
          <w:rFonts w:ascii="Times New Roman" w:hAnsi="Times New Roman" w:cs="Times New Roman"/>
          <w:b/>
          <w:bCs/>
          <w:sz w:val="20"/>
          <w:szCs w:val="20"/>
        </w:rPr>
      </w:pPr>
      <w:r w:rsidRPr="005729A3">
        <w:rPr>
          <w:rFonts w:ascii="Times New Roman" w:hAnsi="Times New Roman" w:cs="Times New Roman"/>
          <w:b/>
          <w:bCs/>
          <w:sz w:val="20"/>
          <w:szCs w:val="20"/>
        </w:rPr>
        <w:t>İşletme Değişikliği</w:t>
      </w:r>
      <w:r>
        <w:rPr>
          <w:rFonts w:ascii="Times New Roman" w:hAnsi="Times New Roman" w:cs="Times New Roman"/>
          <w:b/>
          <w:bCs/>
          <w:sz w:val="20"/>
          <w:szCs w:val="20"/>
        </w:rPr>
        <w:t xml:space="preserve"> ve Eşdeğer Uygulama</w:t>
      </w:r>
      <w:r w:rsidRPr="005729A3">
        <w:rPr>
          <w:rFonts w:ascii="Times New Roman" w:hAnsi="Times New Roman" w:cs="Times New Roman"/>
          <w:b/>
          <w:bCs/>
          <w:sz w:val="20"/>
          <w:szCs w:val="20"/>
        </w:rPr>
        <w:t xml:space="preserve">: </w:t>
      </w:r>
      <w:r w:rsidRPr="005729A3">
        <w:rPr>
          <w:rFonts w:ascii="Times New Roman" w:hAnsi="Times New Roman" w:cs="Times New Roman"/>
          <w:sz w:val="20"/>
          <w:szCs w:val="20"/>
        </w:rPr>
        <w:t xml:space="preserve">Öğrenci </w:t>
      </w:r>
      <w:r>
        <w:rPr>
          <w:rFonts w:ascii="Times New Roman" w:hAnsi="Times New Roman" w:cs="Times New Roman"/>
          <w:sz w:val="20"/>
          <w:szCs w:val="20"/>
        </w:rPr>
        <w:t>İME/Staj uygulaması</w:t>
      </w:r>
      <w:r w:rsidRPr="005729A3">
        <w:rPr>
          <w:rFonts w:ascii="Times New Roman" w:hAnsi="Times New Roman" w:cs="Times New Roman"/>
          <w:sz w:val="20"/>
          <w:szCs w:val="20"/>
        </w:rPr>
        <w:t xml:space="preserve"> başladıktan sonra belgelendirebileceği zorlayıcı sebeplerle (sağlık sorunları, işletmenin kapanması, iş güvenliği riskleri vb.) birlikte ilgili bölüm komisyonuna dilekçe vererek işletme değişikliği veya eşdeğer uygulama talep edebilir. </w:t>
      </w:r>
      <w:r>
        <w:rPr>
          <w:rFonts w:ascii="Times New Roman" w:hAnsi="Times New Roman" w:cs="Times New Roman"/>
          <w:sz w:val="20"/>
          <w:szCs w:val="20"/>
        </w:rPr>
        <w:t>Talebin</w:t>
      </w:r>
      <w:r w:rsidRPr="005729A3">
        <w:rPr>
          <w:rFonts w:ascii="Times New Roman" w:hAnsi="Times New Roman" w:cs="Times New Roman"/>
          <w:sz w:val="20"/>
          <w:szCs w:val="20"/>
        </w:rPr>
        <w:t xml:space="preserve"> geçerli olabilmesi için komisyon onayı şarttır; onaysız yapılan değişiklikler geçersiz sayılır.</w:t>
      </w:r>
      <w:r w:rsidRPr="005729A3">
        <w:rPr>
          <w:rFonts w:ascii="Times New Roman" w:hAnsi="Times New Roman" w:cs="Times New Roman"/>
          <w:b/>
          <w:bCs/>
          <w:sz w:val="20"/>
          <w:szCs w:val="20"/>
        </w:rPr>
        <w:t xml:space="preserve">  </w:t>
      </w:r>
    </w:p>
    <w:p w14:paraId="514AA0A7" w14:textId="571252E9" w:rsidR="00436D64" w:rsidRDefault="00E900B5" w:rsidP="005729A3">
      <w:pPr>
        <w:spacing w:before="120" w:after="0"/>
        <w:jc w:val="both"/>
        <w:rPr>
          <w:rFonts w:ascii="Times New Roman" w:hAnsi="Times New Roman" w:cs="Times New Roman"/>
          <w:sz w:val="20"/>
          <w:szCs w:val="20"/>
        </w:rPr>
      </w:pPr>
      <w:r w:rsidRPr="00436D64">
        <w:rPr>
          <w:rFonts w:ascii="Times New Roman" w:hAnsi="Times New Roman" w:cs="Times New Roman"/>
          <w:b/>
          <w:bCs/>
          <w:sz w:val="20"/>
          <w:szCs w:val="20"/>
        </w:rPr>
        <w:t>Değerlendirme</w:t>
      </w:r>
      <w:r w:rsidR="00436D64">
        <w:rPr>
          <w:rFonts w:ascii="Times New Roman" w:hAnsi="Times New Roman" w:cs="Times New Roman"/>
          <w:b/>
          <w:bCs/>
          <w:sz w:val="20"/>
          <w:szCs w:val="20"/>
        </w:rPr>
        <w:t>,</w:t>
      </w:r>
      <w:r w:rsidRPr="00436D64">
        <w:rPr>
          <w:rFonts w:ascii="Times New Roman" w:hAnsi="Times New Roman" w:cs="Times New Roman"/>
          <w:b/>
          <w:bCs/>
          <w:sz w:val="20"/>
          <w:szCs w:val="20"/>
        </w:rPr>
        <w:t xml:space="preserve"> Başarı</w:t>
      </w:r>
      <w:r w:rsidR="00436D64">
        <w:rPr>
          <w:rFonts w:ascii="Times New Roman" w:hAnsi="Times New Roman" w:cs="Times New Roman"/>
          <w:b/>
          <w:bCs/>
          <w:sz w:val="20"/>
          <w:szCs w:val="20"/>
        </w:rPr>
        <w:t xml:space="preserve"> ve İtiraz</w:t>
      </w:r>
      <w:r w:rsidRPr="00436D64">
        <w:rPr>
          <w:rFonts w:ascii="Times New Roman" w:hAnsi="Times New Roman" w:cs="Times New Roman"/>
          <w:b/>
          <w:bCs/>
          <w:sz w:val="20"/>
          <w:szCs w:val="20"/>
        </w:rPr>
        <w:t>:</w:t>
      </w:r>
      <w:r w:rsidRPr="00436D64">
        <w:rPr>
          <w:rFonts w:ascii="Times New Roman" w:hAnsi="Times New Roman" w:cs="Times New Roman"/>
          <w:sz w:val="20"/>
          <w:szCs w:val="20"/>
        </w:rPr>
        <w:t xml:space="preserve"> </w:t>
      </w:r>
    </w:p>
    <w:p w14:paraId="4323E77B" w14:textId="37F1C621" w:rsidR="00E900B5" w:rsidRPr="00436D64" w:rsidRDefault="00E900B5" w:rsidP="005729A3">
      <w:pPr>
        <w:pStyle w:val="ListeParagraf"/>
        <w:numPr>
          <w:ilvl w:val="0"/>
          <w:numId w:val="7"/>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Öğrencinin genel başarı notu; İşletmedeki Eğitici Personel notunun %40'ı ve Sorumlu Öğretim Elemanı notunun %60'ı alınarak Fakülte Bölüm Komisyonu tarafından kesinleştirilir ve harf notu olarak sisteme işlenir. </w:t>
      </w:r>
      <w:r w:rsidR="00436D64" w:rsidRPr="00436D64">
        <w:rPr>
          <w:rFonts w:ascii="Times New Roman" w:hAnsi="Times New Roman" w:cs="Times New Roman"/>
          <w:sz w:val="20"/>
          <w:szCs w:val="20"/>
        </w:rPr>
        <w:t>Öğrencinin başarılı sayılabilmesi için genel başarı notunun en az 60 (CC) olması gerekmektedir.</w:t>
      </w:r>
    </w:p>
    <w:p w14:paraId="4DA57857" w14:textId="741C51B0" w:rsidR="00436D64" w:rsidRPr="00436D64" w:rsidRDefault="00436D64" w:rsidP="005729A3">
      <w:pPr>
        <w:pStyle w:val="ListeParagraf"/>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Uygulamasını tamamladığı hâlde değerlendirme süreçlerine katılmayan veya belgelerini teslim etmeyen öğrenci başarısız sayılır.  </w:t>
      </w:r>
    </w:p>
    <w:p w14:paraId="3CB795B4" w14:textId="60067DFE" w:rsidR="00436D64" w:rsidRPr="00436D64" w:rsidRDefault="00436D64" w:rsidP="005729A3">
      <w:pPr>
        <w:pStyle w:val="ListeParagraf"/>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Öğrenciler, komisyonun değerlendirme sonucuna 5 iş günü içinde itiraz edebilirler.</w:t>
      </w:r>
    </w:p>
    <w:p w14:paraId="537428BB" w14:textId="77777777" w:rsidR="00E900B5" w:rsidRPr="00436D64" w:rsidRDefault="00E900B5" w:rsidP="005729A3">
      <w:pPr>
        <w:spacing w:before="120" w:after="0"/>
        <w:jc w:val="both"/>
        <w:rPr>
          <w:rFonts w:ascii="Times New Roman" w:hAnsi="Times New Roman" w:cs="Times New Roman"/>
          <w:b/>
          <w:bCs/>
          <w:sz w:val="20"/>
          <w:szCs w:val="20"/>
        </w:rPr>
      </w:pPr>
      <w:r w:rsidRPr="00436D64">
        <w:rPr>
          <w:rFonts w:ascii="Times New Roman" w:hAnsi="Times New Roman" w:cs="Times New Roman"/>
          <w:b/>
          <w:bCs/>
          <w:sz w:val="20"/>
          <w:szCs w:val="20"/>
        </w:rPr>
        <w:t>Geçersiz Sayılma Durumları:</w:t>
      </w:r>
    </w:p>
    <w:p w14:paraId="3BB6261E" w14:textId="77777777" w:rsidR="00436D64" w:rsidRDefault="00E900B5" w:rsidP="005729A3">
      <w:pPr>
        <w:numPr>
          <w:ilvl w:val="0"/>
          <w:numId w:val="4"/>
        </w:numPr>
        <w:spacing w:after="0"/>
        <w:jc w:val="both"/>
        <w:rPr>
          <w:rFonts w:ascii="Times New Roman" w:hAnsi="Times New Roman" w:cs="Times New Roman"/>
          <w:sz w:val="20"/>
          <w:szCs w:val="20"/>
        </w:rPr>
      </w:pPr>
      <w:r w:rsidRPr="00436D64">
        <w:rPr>
          <w:rFonts w:ascii="Times New Roman" w:hAnsi="Times New Roman" w:cs="Times New Roman"/>
          <w:sz w:val="20"/>
          <w:szCs w:val="20"/>
        </w:rPr>
        <w:t xml:space="preserve">Öğrencinin toplam devamsızlığının dönem içindeki çalışma süresinin %20’sini aşması durumunda İME/Staj geçersiz sayılır. </w:t>
      </w:r>
    </w:p>
    <w:p w14:paraId="5C2DFCA6" w14:textId="2F250ED1" w:rsidR="00D217C7" w:rsidRPr="00436D64" w:rsidRDefault="00E900B5" w:rsidP="005729A3">
      <w:pPr>
        <w:numPr>
          <w:ilvl w:val="0"/>
          <w:numId w:val="4"/>
        </w:numPr>
        <w:spacing w:after="0"/>
        <w:jc w:val="both"/>
        <w:rPr>
          <w:rFonts w:ascii="Times New Roman" w:hAnsi="Times New Roman" w:cs="Times New Roman"/>
          <w:sz w:val="20"/>
          <w:szCs w:val="20"/>
        </w:rPr>
        <w:sectPr w:rsidR="00D217C7" w:rsidRPr="00436D64" w:rsidSect="003E7BB2">
          <w:pgSz w:w="11906" w:h="16838"/>
          <w:pgMar w:top="720" w:right="720" w:bottom="720" w:left="720" w:header="708" w:footer="708" w:gutter="0"/>
          <w:cols w:space="708"/>
          <w:docGrid w:linePitch="360"/>
        </w:sectPr>
      </w:pPr>
      <w:r w:rsidRPr="00436D64">
        <w:rPr>
          <w:rFonts w:ascii="Times New Roman" w:hAnsi="Times New Roman" w:cs="Times New Roman"/>
          <w:sz w:val="20"/>
          <w:szCs w:val="20"/>
        </w:rPr>
        <w:t>İşletme değişikliğinin Komisyon onayı olmadan yapılması, öğrencinin izinsiz işletmeyi terk etmesi veya İşletmede Mesleki Eğitim ve Staj Dosyasının belirtilen sürede teslim edilmemesi durumlarında da staj geçersiz kabul edilir.</w:t>
      </w:r>
    </w:p>
    <w:p w14:paraId="2D4CEFEA" w14:textId="77777777" w:rsidR="008F2546" w:rsidRPr="00436D64" w:rsidRDefault="008F2546" w:rsidP="005729A3">
      <w:pPr>
        <w:spacing w:before="120" w:after="0"/>
        <w:rPr>
          <w:rFonts w:ascii="Times New Roman" w:hAnsi="Times New Roman" w:cs="Times New Roman"/>
          <w:b/>
          <w:bCs/>
          <w:sz w:val="2"/>
          <w:szCs w:val="2"/>
        </w:rPr>
      </w:pPr>
    </w:p>
    <w:sectPr w:rsidR="008F2546" w:rsidRPr="00436D64" w:rsidSect="00D217C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15702"/>
    <w:multiLevelType w:val="multilevel"/>
    <w:tmpl w:val="40FC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F1174"/>
    <w:multiLevelType w:val="multilevel"/>
    <w:tmpl w:val="A5F4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D267B"/>
    <w:multiLevelType w:val="multilevel"/>
    <w:tmpl w:val="E784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04068"/>
    <w:multiLevelType w:val="multilevel"/>
    <w:tmpl w:val="52F6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164FA"/>
    <w:multiLevelType w:val="hybridMultilevel"/>
    <w:tmpl w:val="3A565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A4D0242"/>
    <w:multiLevelType w:val="multilevel"/>
    <w:tmpl w:val="BEFC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FA79A0"/>
    <w:multiLevelType w:val="multilevel"/>
    <w:tmpl w:val="E784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397009">
    <w:abstractNumId w:val="3"/>
  </w:num>
  <w:num w:numId="2" w16cid:durableId="556089575">
    <w:abstractNumId w:val="1"/>
  </w:num>
  <w:num w:numId="3" w16cid:durableId="1899129580">
    <w:abstractNumId w:val="0"/>
  </w:num>
  <w:num w:numId="4" w16cid:durableId="38407243">
    <w:abstractNumId w:val="2"/>
  </w:num>
  <w:num w:numId="5" w16cid:durableId="918438934">
    <w:abstractNumId w:val="5"/>
  </w:num>
  <w:num w:numId="6" w16cid:durableId="1859466854">
    <w:abstractNumId w:val="4"/>
  </w:num>
  <w:num w:numId="7" w16cid:durableId="409424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BE"/>
    <w:rsid w:val="000B371C"/>
    <w:rsid w:val="001470BE"/>
    <w:rsid w:val="001A709F"/>
    <w:rsid w:val="002B27CF"/>
    <w:rsid w:val="003E7BB2"/>
    <w:rsid w:val="00436D64"/>
    <w:rsid w:val="004400D7"/>
    <w:rsid w:val="004918F2"/>
    <w:rsid w:val="004D68E0"/>
    <w:rsid w:val="005729A3"/>
    <w:rsid w:val="005A3942"/>
    <w:rsid w:val="006608A3"/>
    <w:rsid w:val="0067313D"/>
    <w:rsid w:val="00723C1C"/>
    <w:rsid w:val="00757ACB"/>
    <w:rsid w:val="0085015D"/>
    <w:rsid w:val="008E6ED5"/>
    <w:rsid w:val="008F2546"/>
    <w:rsid w:val="00A9065E"/>
    <w:rsid w:val="00A92964"/>
    <w:rsid w:val="00BF0DC7"/>
    <w:rsid w:val="00D217C7"/>
    <w:rsid w:val="00E461E4"/>
    <w:rsid w:val="00E900B5"/>
    <w:rsid w:val="00ED08AE"/>
    <w:rsid w:val="00F251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D085"/>
  <w15:chartTrackingRefBased/>
  <w15:docId w15:val="{E9E552DC-1361-49FA-9388-F0710CC7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4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4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470B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470B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470B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470B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470B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470B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470B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470B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470B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470B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470B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470B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470B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470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470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470BE"/>
    <w:rPr>
      <w:rFonts w:eastAsiaTheme="majorEastAsia" w:cstheme="majorBidi"/>
      <w:color w:val="272727" w:themeColor="text1" w:themeTint="D8"/>
    </w:rPr>
  </w:style>
  <w:style w:type="paragraph" w:styleId="KonuBal">
    <w:name w:val="Title"/>
    <w:basedOn w:val="Normal"/>
    <w:next w:val="Normal"/>
    <w:link w:val="KonuBalChar"/>
    <w:uiPriority w:val="10"/>
    <w:qFormat/>
    <w:rsid w:val="0014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470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470B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470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470B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470BE"/>
    <w:rPr>
      <w:i/>
      <w:iCs/>
      <w:color w:val="404040" w:themeColor="text1" w:themeTint="BF"/>
    </w:rPr>
  </w:style>
  <w:style w:type="paragraph" w:styleId="ListeParagraf">
    <w:name w:val="List Paragraph"/>
    <w:basedOn w:val="Normal"/>
    <w:uiPriority w:val="34"/>
    <w:qFormat/>
    <w:rsid w:val="001470BE"/>
    <w:pPr>
      <w:ind w:left="720"/>
      <w:contextualSpacing/>
    </w:pPr>
  </w:style>
  <w:style w:type="character" w:styleId="GlVurgulama">
    <w:name w:val="Intense Emphasis"/>
    <w:basedOn w:val="VarsaylanParagrafYazTipi"/>
    <w:uiPriority w:val="21"/>
    <w:qFormat/>
    <w:rsid w:val="001470BE"/>
    <w:rPr>
      <w:i/>
      <w:iCs/>
      <w:color w:val="0F4761" w:themeColor="accent1" w:themeShade="BF"/>
    </w:rPr>
  </w:style>
  <w:style w:type="paragraph" w:styleId="GlAlnt">
    <w:name w:val="Intense Quote"/>
    <w:basedOn w:val="Normal"/>
    <w:next w:val="Normal"/>
    <w:link w:val="GlAlntChar"/>
    <w:uiPriority w:val="30"/>
    <w:qFormat/>
    <w:rsid w:val="0014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470BE"/>
    <w:rPr>
      <w:i/>
      <w:iCs/>
      <w:color w:val="0F4761" w:themeColor="accent1" w:themeShade="BF"/>
    </w:rPr>
  </w:style>
  <w:style w:type="character" w:styleId="GlBavuru">
    <w:name w:val="Intense Reference"/>
    <w:basedOn w:val="VarsaylanParagrafYazTipi"/>
    <w:uiPriority w:val="32"/>
    <w:qFormat/>
    <w:rsid w:val="001470BE"/>
    <w:rPr>
      <w:b/>
      <w:bCs/>
      <w:smallCaps/>
      <w:color w:val="0F4761" w:themeColor="accent1" w:themeShade="BF"/>
      <w:spacing w:val="5"/>
    </w:rPr>
  </w:style>
  <w:style w:type="table" w:styleId="TabloKlavuzu">
    <w:name w:val="Table Grid"/>
    <w:basedOn w:val="NormalTablo"/>
    <w:uiPriority w:val="39"/>
    <w:rsid w:val="003E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3E7B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rsid w:val="003E7BB2"/>
    <w:pPr>
      <w:tabs>
        <w:tab w:val="center" w:pos="4536"/>
        <w:tab w:val="right" w:pos="9072"/>
      </w:tabs>
      <w:spacing w:after="0" w:line="240" w:lineRule="auto"/>
    </w:pPr>
    <w:rPr>
      <w:rFonts w:ascii="Calibri" w:eastAsia="Calibri" w:hAnsi="Calibri" w:cs="Times New Roman"/>
      <w:kern w:val="0"/>
      <w:sz w:val="20"/>
      <w:szCs w:val="20"/>
      <w:lang w:eastAsia="tr-TR"/>
      <w14:ligatures w14:val="none"/>
    </w:rPr>
  </w:style>
  <w:style w:type="character" w:customStyle="1" w:styleId="stBilgiChar">
    <w:name w:val="Üst Bilgi Char"/>
    <w:basedOn w:val="VarsaylanParagrafYazTipi"/>
    <w:link w:val="stBilgi"/>
    <w:uiPriority w:val="99"/>
    <w:rsid w:val="003E7BB2"/>
    <w:rPr>
      <w:rFonts w:ascii="Calibri" w:eastAsia="Calibri" w:hAnsi="Calibri" w:cs="Times New Roman"/>
      <w:kern w:val="0"/>
      <w:sz w:val="20"/>
      <w:szCs w:val="20"/>
      <w:lang w:eastAsia="tr-TR"/>
      <w14:ligatures w14:val="none"/>
    </w:rPr>
  </w:style>
  <w:style w:type="paragraph" w:styleId="NormalWeb">
    <w:name w:val="Normal (Web)"/>
    <w:basedOn w:val="Normal"/>
    <w:uiPriority w:val="99"/>
    <w:semiHidden/>
    <w:unhideWhenUsed/>
    <w:rsid w:val="00436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A2FBC-2B8E-4081-85A5-DC371B68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636</Words>
  <Characters>3631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dc:creator>
  <cp:keywords/>
  <dc:description/>
  <cp:lastModifiedBy>Pinti Office</cp:lastModifiedBy>
  <cp:revision>3</cp:revision>
  <cp:lastPrinted>2026-02-13T10:37:00Z</cp:lastPrinted>
  <dcterms:created xsi:type="dcterms:W3CDTF">2026-05-18T17:44:00Z</dcterms:created>
  <dcterms:modified xsi:type="dcterms:W3CDTF">2026-05-18T18:01:00Z</dcterms:modified>
</cp:coreProperties>
</file>